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2E576" w14:textId="11AF5BF7" w:rsidR="00CE61E2" w:rsidRDefault="00BD718D" w:rsidP="00BD718D">
      <w:pPr>
        <w:jc w:val="center"/>
        <w:rPr>
          <w:rFonts w:ascii="Britannic Bold" w:hAnsi="Britannic Bold"/>
          <w:color w:val="0070C0"/>
          <w:sz w:val="144"/>
          <w:szCs w:val="144"/>
        </w:rPr>
      </w:pPr>
      <w:r w:rsidRPr="00BD718D">
        <w:rPr>
          <w:rFonts w:ascii="Britannic Bold" w:hAnsi="Britannic Bold"/>
          <w:color w:val="0070C0"/>
          <w:sz w:val="144"/>
          <w:szCs w:val="144"/>
        </w:rPr>
        <w:t>AUTONOMÍA MORAL</w:t>
      </w:r>
    </w:p>
    <w:p w14:paraId="0F67D2CC" w14:textId="5181D069" w:rsidR="00BD718D" w:rsidRPr="00BD718D" w:rsidRDefault="00BD718D" w:rsidP="00BD718D">
      <w:pPr>
        <w:jc w:val="center"/>
        <w:rPr>
          <w:rFonts w:ascii="Punteada" w:hAnsi="Punteada"/>
          <w:i/>
          <w:iCs/>
          <w:color w:val="0070C0"/>
          <w:sz w:val="48"/>
          <w:szCs w:val="48"/>
        </w:rPr>
      </w:pPr>
      <w:r w:rsidRPr="00BD718D">
        <w:rPr>
          <w:rFonts w:ascii="Punteada" w:hAnsi="Punteada"/>
          <w:i/>
          <w:iCs/>
          <w:color w:val="0070C0"/>
          <w:sz w:val="48"/>
          <w:szCs w:val="48"/>
        </w:rPr>
        <w:t>E independencia</w:t>
      </w:r>
    </w:p>
    <w:p w14:paraId="7C252767" w14:textId="3865A3C3" w:rsidR="00BD718D" w:rsidRDefault="00BD718D" w:rsidP="00BD718D">
      <w:pPr>
        <w:jc w:val="center"/>
        <w:rPr>
          <w:rFonts w:ascii="Bahnschrift Light Condensed" w:hAnsi="Bahnschrift Light Condensed"/>
          <w:color w:val="0070C0"/>
          <w:sz w:val="48"/>
          <w:szCs w:val="48"/>
        </w:rPr>
      </w:pPr>
    </w:p>
    <w:p w14:paraId="2E4847BB" w14:textId="18CCA962" w:rsidR="00BD718D" w:rsidRDefault="00BD718D" w:rsidP="00BD718D">
      <w:pPr>
        <w:jc w:val="center"/>
        <w:rPr>
          <w:rFonts w:ascii="Bahnschrift Light Condensed" w:hAnsi="Bahnschrift Light Condensed"/>
          <w:color w:val="0070C0"/>
          <w:sz w:val="48"/>
          <w:szCs w:val="48"/>
        </w:rPr>
      </w:pPr>
      <w:r w:rsidRPr="00BD718D">
        <w:rPr>
          <w:noProof/>
        </w:rPr>
        <w:drawing>
          <wp:inline distT="0" distB="0" distL="0" distR="0" wp14:anchorId="203289F7" wp14:editId="4DE39DB3">
            <wp:extent cx="4762500" cy="467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D962" w14:textId="1C0A7328" w:rsidR="00BD718D" w:rsidRDefault="00BD718D" w:rsidP="00BD718D">
      <w:pPr>
        <w:jc w:val="center"/>
        <w:rPr>
          <w:rFonts w:ascii="Bahnschrift Light Condensed" w:hAnsi="Bahnschrift Light Condensed"/>
          <w:color w:val="0070C0"/>
          <w:sz w:val="48"/>
          <w:szCs w:val="48"/>
        </w:rPr>
      </w:pPr>
    </w:p>
    <w:p w14:paraId="57F08F1C" w14:textId="621AE271" w:rsidR="00BD718D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  <w:r>
        <w:rPr>
          <w:rFonts w:ascii="Bahnschrift Light Condensed" w:hAnsi="Bahnschrift Light Condensed"/>
          <w:color w:val="0070C0"/>
          <w:sz w:val="48"/>
          <w:szCs w:val="48"/>
        </w:rPr>
        <w:tab/>
      </w:r>
      <w:r>
        <w:rPr>
          <w:rFonts w:ascii="Bahnschrift Light Condensed" w:hAnsi="Bahnschrift Light Condensed"/>
          <w:color w:val="0070C0"/>
          <w:sz w:val="48"/>
          <w:szCs w:val="48"/>
        </w:rPr>
        <w:tab/>
      </w:r>
      <w:r w:rsidR="00BD718D">
        <w:rPr>
          <w:rFonts w:ascii="Bahnschrift Light Condensed" w:hAnsi="Bahnschrift Light Condensed"/>
          <w:color w:val="0070C0"/>
          <w:sz w:val="48"/>
          <w:szCs w:val="48"/>
        </w:rPr>
        <w:t>Silvia Cancelas García 4B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594438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00B814" w14:textId="4D5F3C8D" w:rsidR="00740DAF" w:rsidRPr="00740DAF" w:rsidRDefault="00740DAF" w:rsidP="00740DAF">
          <w:pPr>
            <w:pStyle w:val="TtuloTDC"/>
            <w:spacing w:line="480" w:lineRule="auto"/>
            <w:rPr>
              <w:b/>
              <w:bCs/>
              <w:u w:val="double"/>
            </w:rPr>
          </w:pPr>
          <w:r w:rsidRPr="00740DAF">
            <w:rPr>
              <w:b/>
              <w:bCs/>
              <w:u w:val="double"/>
            </w:rPr>
            <w:t>ÍNDICE</w:t>
          </w:r>
        </w:p>
        <w:p w14:paraId="7718E61D" w14:textId="5B99307F" w:rsidR="00740DAF" w:rsidRDefault="00740DAF" w:rsidP="00740DAF">
          <w:pPr>
            <w:pStyle w:val="TDC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515019" w:history="1">
            <w:r w:rsidRPr="001233B6">
              <w:rPr>
                <w:rStyle w:val="Hipervnculo"/>
                <w:rFonts w:ascii="Agency FB" w:hAnsi="Agency FB"/>
                <w:noProof/>
              </w:rPr>
              <w:t>Que es la autonomía moral?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_Toc62515019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0E132" w14:textId="5B91D705" w:rsidR="00740DAF" w:rsidRDefault="0088086F" w:rsidP="00740DAF">
          <w:pPr>
            <w:pStyle w:val="TDC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lang w:eastAsia="ja-JP"/>
            </w:rPr>
          </w:pPr>
          <w:hyperlink w:anchor="_Toc62515020" w:history="1">
            <w:r w:rsidR="00740DAF" w:rsidRPr="001233B6">
              <w:rPr>
                <w:rStyle w:val="Hipervnculo"/>
                <w:rFonts w:ascii="Agency FB" w:hAnsi="Agency FB"/>
                <w:noProof/>
              </w:rPr>
              <w:t>La heteronomía</w:t>
            </w:r>
            <w:r w:rsidR="00740DAF">
              <w:rPr>
                <w:noProof/>
                <w:webHidden/>
              </w:rPr>
              <w:tab/>
            </w:r>
            <w:r w:rsidR="00740DAF">
              <w:rPr>
                <w:noProof/>
                <w:webHidden/>
              </w:rPr>
              <w:fldChar w:fldCharType="begin"/>
            </w:r>
            <w:r w:rsidR="00740DAF">
              <w:rPr>
                <w:noProof/>
                <w:webHidden/>
              </w:rPr>
              <w:instrText xml:space="preserve"> PAGEREF _Toc62515020 \h </w:instrText>
            </w:r>
            <w:r w:rsidR="00740DAF">
              <w:rPr>
                <w:noProof/>
                <w:webHidden/>
              </w:rPr>
            </w:r>
            <w:r w:rsidR="00740DAF">
              <w:rPr>
                <w:noProof/>
                <w:webHidden/>
              </w:rPr>
              <w:fldChar w:fldCharType="separate"/>
            </w:r>
            <w:r w:rsidR="00740DAF">
              <w:rPr>
                <w:noProof/>
                <w:webHidden/>
              </w:rPr>
              <w:t>4</w:t>
            </w:r>
            <w:r w:rsidR="00740DAF">
              <w:rPr>
                <w:noProof/>
                <w:webHidden/>
              </w:rPr>
              <w:fldChar w:fldCharType="end"/>
            </w:r>
          </w:hyperlink>
        </w:p>
        <w:p w14:paraId="010BFBFB" w14:textId="2D46EFB5" w:rsidR="00740DAF" w:rsidRDefault="0088086F" w:rsidP="00740DAF">
          <w:pPr>
            <w:pStyle w:val="TDC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lang w:eastAsia="ja-JP"/>
            </w:rPr>
          </w:pPr>
          <w:hyperlink w:anchor="_Toc62515021" w:history="1">
            <w:r w:rsidR="00740DAF" w:rsidRPr="001233B6">
              <w:rPr>
                <w:rStyle w:val="Hipervnculo"/>
                <w:rFonts w:ascii="Agency FB" w:hAnsi="Agency FB"/>
                <w:noProof/>
              </w:rPr>
              <w:t>El superego o superyó</w:t>
            </w:r>
            <w:r w:rsidR="00740DAF">
              <w:rPr>
                <w:noProof/>
                <w:webHidden/>
              </w:rPr>
              <w:tab/>
            </w:r>
            <w:r w:rsidR="00740DAF">
              <w:rPr>
                <w:noProof/>
                <w:webHidden/>
              </w:rPr>
              <w:fldChar w:fldCharType="begin"/>
            </w:r>
            <w:r w:rsidR="00740DAF">
              <w:rPr>
                <w:noProof/>
                <w:webHidden/>
              </w:rPr>
              <w:instrText xml:space="preserve"> PAGEREF _Toc62515021 \h </w:instrText>
            </w:r>
            <w:r w:rsidR="00740DAF">
              <w:rPr>
                <w:noProof/>
                <w:webHidden/>
              </w:rPr>
            </w:r>
            <w:r w:rsidR="00740DAF">
              <w:rPr>
                <w:noProof/>
                <w:webHidden/>
              </w:rPr>
              <w:fldChar w:fldCharType="separate"/>
            </w:r>
            <w:r w:rsidR="00740DAF">
              <w:rPr>
                <w:noProof/>
                <w:webHidden/>
              </w:rPr>
              <w:t>5</w:t>
            </w:r>
            <w:r w:rsidR="00740DAF">
              <w:rPr>
                <w:noProof/>
                <w:webHidden/>
              </w:rPr>
              <w:fldChar w:fldCharType="end"/>
            </w:r>
          </w:hyperlink>
        </w:p>
        <w:p w14:paraId="43CE843B" w14:textId="68AD6A99" w:rsidR="00740DAF" w:rsidRDefault="0088086F" w:rsidP="00740DAF">
          <w:pPr>
            <w:pStyle w:val="TDC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lang w:eastAsia="ja-JP"/>
            </w:rPr>
          </w:pPr>
          <w:hyperlink w:anchor="_Toc62515022" w:history="1">
            <w:r w:rsidR="00740DAF" w:rsidRPr="001233B6">
              <w:rPr>
                <w:rStyle w:val="Hipervnculo"/>
                <w:rFonts w:ascii="Agency FB" w:hAnsi="Agency FB"/>
                <w:noProof/>
              </w:rPr>
              <w:t>La estructura de la mente humana</w:t>
            </w:r>
            <w:r w:rsidR="00740DAF">
              <w:rPr>
                <w:noProof/>
                <w:webHidden/>
              </w:rPr>
              <w:tab/>
            </w:r>
            <w:r w:rsidR="00740DAF">
              <w:rPr>
                <w:noProof/>
                <w:webHidden/>
              </w:rPr>
              <w:fldChar w:fldCharType="begin"/>
            </w:r>
            <w:r w:rsidR="00740DAF">
              <w:rPr>
                <w:noProof/>
                <w:webHidden/>
              </w:rPr>
              <w:instrText xml:space="preserve"> PAGEREF _Toc62515022 \h </w:instrText>
            </w:r>
            <w:r w:rsidR="00740DAF">
              <w:rPr>
                <w:noProof/>
                <w:webHidden/>
              </w:rPr>
            </w:r>
            <w:r w:rsidR="00740DAF">
              <w:rPr>
                <w:noProof/>
                <w:webHidden/>
              </w:rPr>
              <w:fldChar w:fldCharType="separate"/>
            </w:r>
            <w:r w:rsidR="00740DAF">
              <w:rPr>
                <w:noProof/>
                <w:webHidden/>
              </w:rPr>
              <w:t>6</w:t>
            </w:r>
            <w:r w:rsidR="00740DAF">
              <w:rPr>
                <w:noProof/>
                <w:webHidden/>
              </w:rPr>
              <w:fldChar w:fldCharType="end"/>
            </w:r>
          </w:hyperlink>
        </w:p>
        <w:p w14:paraId="27A2A14C" w14:textId="5FDF5ABA" w:rsidR="00740DAF" w:rsidRDefault="00740DAF" w:rsidP="00740DAF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3C6DF0D4" w14:textId="60BCBE72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43E2F58E" w14:textId="74F30FC4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2BB0C179" w14:textId="36FB0EC2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5871ED1C" w14:textId="25A233B3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5AA61C6A" w14:textId="319CE5CD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6B28B466" w14:textId="139D9F79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20FBA686" w14:textId="713013AE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5C6FF278" w14:textId="4DB5D3F6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5391738F" w14:textId="0E0B2412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5C738853" w14:textId="5741C46C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11194F22" w14:textId="12FD9469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25333772" w14:textId="38E2C5D7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773EDE8E" w14:textId="77777777" w:rsidR="00420147" w:rsidRDefault="00420147" w:rsidP="00420147">
      <w:pPr>
        <w:tabs>
          <w:tab w:val="left" w:pos="1005"/>
          <w:tab w:val="center" w:pos="4535"/>
        </w:tabs>
        <w:rPr>
          <w:rFonts w:ascii="Bahnschrift Light Condensed" w:hAnsi="Bahnschrift Light Condensed"/>
          <w:color w:val="0070C0"/>
          <w:sz w:val="48"/>
          <w:szCs w:val="48"/>
        </w:rPr>
      </w:pPr>
    </w:p>
    <w:p w14:paraId="783350C5" w14:textId="37BCFBDB" w:rsidR="00BD718D" w:rsidRPr="00420147" w:rsidRDefault="006C440B" w:rsidP="00740DAF">
      <w:pPr>
        <w:pStyle w:val="Ttulo1"/>
        <w:spacing w:line="480" w:lineRule="auto"/>
        <w:jc w:val="both"/>
        <w:rPr>
          <w:rFonts w:ascii="Agency FB" w:hAnsi="Agency FB"/>
          <w:sz w:val="48"/>
          <w:szCs w:val="48"/>
        </w:rPr>
      </w:pPr>
      <w:bookmarkStart w:id="0" w:name="_Toc62514911"/>
      <w:bookmarkStart w:id="1" w:name="_Toc62515019"/>
      <w:proofErr w:type="gramStart"/>
      <w:r w:rsidRPr="00420147">
        <w:rPr>
          <w:rFonts w:ascii="Agency FB" w:hAnsi="Agency FB"/>
          <w:sz w:val="48"/>
          <w:szCs w:val="48"/>
        </w:rPr>
        <w:lastRenderedPageBreak/>
        <w:t>Que es la autonomía moral?</w:t>
      </w:r>
      <w:bookmarkEnd w:id="0"/>
      <w:bookmarkEnd w:id="1"/>
      <w:proofErr w:type="gramEnd"/>
    </w:p>
    <w:p w14:paraId="15D9076A" w14:textId="77777777" w:rsidR="0073365F" w:rsidRPr="00012469" w:rsidRDefault="0073365F" w:rsidP="00740DAF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2469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bookmarkStart w:id="2" w:name="autonomía"/>
      <w:r w:rsidRPr="00012469">
        <w:rPr>
          <w:rFonts w:ascii="Arial" w:hAnsi="Arial" w:cs="Arial"/>
          <w:color w:val="000000" w:themeColor="text1"/>
          <w:sz w:val="24"/>
          <w:szCs w:val="24"/>
        </w:rPr>
        <w:t>autonomía</w:t>
      </w:r>
      <w:bookmarkEnd w:id="2"/>
      <w:r w:rsidRPr="00012469">
        <w:rPr>
          <w:rFonts w:ascii="Arial" w:hAnsi="Arial" w:cs="Arial"/>
          <w:color w:val="000000" w:themeColor="text1"/>
          <w:sz w:val="24"/>
          <w:szCs w:val="24"/>
        </w:rPr>
        <w:t xml:space="preserve"> consiste en la independencia y en saber valerse por sí mismo, de manera que la autonomía moral es la forma en la que uno toma decisiones sin la ayuda o influencia de otros.</w:t>
      </w:r>
    </w:p>
    <w:p w14:paraId="41FE20FC" w14:textId="7D218E4C" w:rsidR="0073365F" w:rsidRPr="00012469" w:rsidRDefault="0073365F" w:rsidP="00740DAF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2469">
        <w:rPr>
          <w:rFonts w:ascii="Arial" w:hAnsi="Arial" w:cs="Arial"/>
          <w:color w:val="000000" w:themeColor="text1"/>
          <w:sz w:val="24"/>
          <w:szCs w:val="24"/>
        </w:rPr>
        <w:t>La autonomía moral y no moral es algo muy importante en las personas de nuestra edad, ya que estamos en la etapa en la que nos vamos independizando poco a poco dependiendo de nosotros mismos, de modo que la necesitaremos en algún momento, en caso de que no la tengamos ya.</w:t>
      </w:r>
    </w:p>
    <w:p w14:paraId="4D443538" w14:textId="77777777" w:rsidR="0073365F" w:rsidRPr="00012469" w:rsidRDefault="0073365F" w:rsidP="00740DAF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32FD59" w14:textId="06655EB2" w:rsidR="00CE760D" w:rsidRPr="00012469" w:rsidRDefault="0073365F" w:rsidP="00740DAF">
      <w:pPr>
        <w:spacing w:line="48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2469">
        <w:rPr>
          <w:rFonts w:ascii="Arial" w:hAnsi="Arial" w:cs="Arial"/>
          <w:color w:val="000000" w:themeColor="text1"/>
          <w:sz w:val="24"/>
          <w:szCs w:val="24"/>
        </w:rPr>
        <w:t>La independencia la obtenemos cuando cumplimos la mayoría de edad o conseguimos los medios para valernos por nosotros mismos sin la ayuda de nuestros padres. Sin embargo, la autonomía moral es menos fácil de conseguir y existen muchísimas personas adultas que no la tienen, ya que mucha gente suele depender de los demás y de opiniones ajenas. Por no decir que la mayoría busca</w:t>
      </w:r>
      <w:r w:rsidR="00CE760D" w:rsidRPr="00012469">
        <w:rPr>
          <w:rFonts w:ascii="Arial" w:hAnsi="Arial" w:cs="Arial"/>
          <w:color w:val="000000" w:themeColor="text1"/>
          <w:sz w:val="24"/>
          <w:szCs w:val="24"/>
        </w:rPr>
        <w:t>n</w:t>
      </w:r>
      <w:r w:rsidRPr="00012469">
        <w:rPr>
          <w:rFonts w:ascii="Arial" w:hAnsi="Arial" w:cs="Arial"/>
          <w:color w:val="000000" w:themeColor="text1"/>
          <w:sz w:val="24"/>
          <w:szCs w:val="24"/>
        </w:rPr>
        <w:t xml:space="preserve"> la aprobación del resto, aunque sea en mayor o menor medida.</w:t>
      </w:r>
    </w:p>
    <w:p w14:paraId="5060BDC4" w14:textId="7DB88356" w:rsidR="00CE760D" w:rsidRDefault="00CE760D" w:rsidP="00A92CC9">
      <w:pPr>
        <w:jc w:val="center"/>
      </w:pPr>
      <w:r w:rsidRPr="00CE760D">
        <w:rPr>
          <w:noProof/>
        </w:rPr>
        <w:drawing>
          <wp:inline distT="0" distB="0" distL="0" distR="0" wp14:anchorId="38351567" wp14:editId="30AAC279">
            <wp:extent cx="3865880" cy="254985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5758" cy="26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BB55" w14:textId="0D274491" w:rsidR="00CE760D" w:rsidRDefault="00CE760D" w:rsidP="00A92CC9">
      <w:pPr>
        <w:jc w:val="both"/>
      </w:pPr>
    </w:p>
    <w:p w14:paraId="6447ED62" w14:textId="366AB194" w:rsidR="00CE760D" w:rsidRDefault="00CE760D" w:rsidP="00740DAF">
      <w:pPr>
        <w:ind w:firstLine="709"/>
        <w:jc w:val="both"/>
      </w:pPr>
    </w:p>
    <w:p w14:paraId="47D7C41B" w14:textId="43042678" w:rsidR="00CE760D" w:rsidRDefault="00CE760D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2469">
        <w:rPr>
          <w:rFonts w:ascii="Arial" w:hAnsi="Arial" w:cs="Arial"/>
          <w:sz w:val="24"/>
          <w:szCs w:val="24"/>
        </w:rPr>
        <w:t>Con autonomía moral, se puede juzgar moralmente una acción, una situación o un evento, determinando así de si se trata de algo aceptable o no. Con ella, también podemos tomar decisiones más fácilmente</w:t>
      </w:r>
      <w:r w:rsidR="00012469">
        <w:rPr>
          <w:rFonts w:ascii="Arial" w:hAnsi="Arial" w:cs="Arial"/>
          <w:sz w:val="24"/>
          <w:szCs w:val="24"/>
        </w:rPr>
        <w:t>.</w:t>
      </w:r>
    </w:p>
    <w:p w14:paraId="1144B4D2" w14:textId="05B6C170" w:rsidR="00517579" w:rsidRPr="00012469" w:rsidRDefault="00A92CC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14:paraId="636C3B14" w14:textId="470E0AA4" w:rsidR="00CE760D" w:rsidRDefault="00CE760D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2469">
        <w:rPr>
          <w:rFonts w:ascii="Arial" w:hAnsi="Arial" w:cs="Arial"/>
          <w:sz w:val="24"/>
          <w:szCs w:val="24"/>
        </w:rPr>
        <w:t>Para que una persona pueda enfrentar o resolver una situación son necesarios los siguientes pasos:</w:t>
      </w:r>
    </w:p>
    <w:p w14:paraId="00BAFFB0" w14:textId="77777777" w:rsidR="00517579" w:rsidRPr="00012469" w:rsidRDefault="0051757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E760D" w:rsidRPr="00012469" w14:paraId="44FD25BB" w14:textId="77777777" w:rsidTr="00CE760D">
        <w:tc>
          <w:tcPr>
            <w:tcW w:w="4530" w:type="dxa"/>
          </w:tcPr>
          <w:p w14:paraId="15584C93" w14:textId="01A491B8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Definir el problema</w:t>
            </w:r>
          </w:p>
        </w:tc>
        <w:tc>
          <w:tcPr>
            <w:tcW w:w="4530" w:type="dxa"/>
          </w:tcPr>
          <w:p w14:paraId="777E57D9" w14:textId="4117A68D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Se analiza la situación a la que nos enfrentamos</w:t>
            </w:r>
          </w:p>
        </w:tc>
      </w:tr>
      <w:tr w:rsidR="00CE760D" w:rsidRPr="00012469" w14:paraId="2C7F1D14" w14:textId="77777777" w:rsidTr="00CE760D">
        <w:tc>
          <w:tcPr>
            <w:tcW w:w="4530" w:type="dxa"/>
          </w:tcPr>
          <w:p w14:paraId="3E9D4130" w14:textId="74216188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Detectar las alternativas posibles</w:t>
            </w:r>
          </w:p>
        </w:tc>
        <w:tc>
          <w:tcPr>
            <w:tcW w:w="4530" w:type="dxa"/>
          </w:tcPr>
          <w:p w14:paraId="31DAA881" w14:textId="09C997C6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Vemos que posibles opciones hay</w:t>
            </w:r>
          </w:p>
        </w:tc>
      </w:tr>
      <w:tr w:rsidR="00CE760D" w:rsidRPr="00012469" w14:paraId="35CEC7C5" w14:textId="77777777" w:rsidTr="00CE760D">
        <w:tc>
          <w:tcPr>
            <w:tcW w:w="4530" w:type="dxa"/>
          </w:tcPr>
          <w:p w14:paraId="238B554B" w14:textId="4AC709B1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Prever los resultados</w:t>
            </w:r>
          </w:p>
        </w:tc>
        <w:tc>
          <w:tcPr>
            <w:tcW w:w="4530" w:type="dxa"/>
          </w:tcPr>
          <w:p w14:paraId="3353ED99" w14:textId="2FD094BB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Imaginamos las consecuencias de cada opción y cuál nos sale más rentable</w:t>
            </w:r>
          </w:p>
        </w:tc>
      </w:tr>
      <w:tr w:rsidR="00CE760D" w:rsidRPr="00012469" w14:paraId="4E7CEB00" w14:textId="77777777" w:rsidTr="00CE760D">
        <w:tc>
          <w:tcPr>
            <w:tcW w:w="4530" w:type="dxa"/>
          </w:tcPr>
          <w:p w14:paraId="58D2AB74" w14:textId="29FCC986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Optar una alternativa</w:t>
            </w:r>
          </w:p>
        </w:tc>
        <w:tc>
          <w:tcPr>
            <w:tcW w:w="4530" w:type="dxa"/>
          </w:tcPr>
          <w:p w14:paraId="250867A5" w14:textId="7742D546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Tomamos una de las opciones</w:t>
            </w:r>
          </w:p>
        </w:tc>
      </w:tr>
      <w:tr w:rsidR="00CE760D" w:rsidRPr="00012469" w14:paraId="7DCFBFF9" w14:textId="77777777" w:rsidTr="00CE760D">
        <w:tc>
          <w:tcPr>
            <w:tcW w:w="4530" w:type="dxa"/>
          </w:tcPr>
          <w:p w14:paraId="29503279" w14:textId="2EE32731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Control</w:t>
            </w:r>
          </w:p>
        </w:tc>
        <w:tc>
          <w:tcPr>
            <w:tcW w:w="4530" w:type="dxa"/>
          </w:tcPr>
          <w:p w14:paraId="04AD0CC6" w14:textId="18CB4C95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Debemos monitorear la situación y hacernos responsables de sus consecuencias</w:t>
            </w:r>
          </w:p>
        </w:tc>
      </w:tr>
      <w:tr w:rsidR="00CE760D" w:rsidRPr="00012469" w14:paraId="358F20DF" w14:textId="77777777" w:rsidTr="00CE760D">
        <w:tc>
          <w:tcPr>
            <w:tcW w:w="4530" w:type="dxa"/>
          </w:tcPr>
          <w:p w14:paraId="2604AE91" w14:textId="4C38FEB1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Evaluaciones</w:t>
            </w:r>
          </w:p>
        </w:tc>
        <w:tc>
          <w:tcPr>
            <w:tcW w:w="4530" w:type="dxa"/>
          </w:tcPr>
          <w:p w14:paraId="1CA9B4F0" w14:textId="71F4AD94" w:rsidR="00CE760D" w:rsidRPr="00012469" w:rsidRDefault="00D6431A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69">
              <w:rPr>
                <w:rFonts w:ascii="Arial" w:hAnsi="Arial" w:cs="Arial"/>
                <w:sz w:val="24"/>
                <w:szCs w:val="24"/>
              </w:rPr>
              <w:t>Analizamos los pros y contras de la decisión tomada para nuevas decisiones en el futuro</w:t>
            </w:r>
          </w:p>
        </w:tc>
      </w:tr>
    </w:tbl>
    <w:p w14:paraId="45773554" w14:textId="69812286" w:rsidR="00CE760D" w:rsidRDefault="00CE760D" w:rsidP="00A92CC9">
      <w:pPr>
        <w:spacing w:line="480" w:lineRule="auto"/>
        <w:ind w:firstLine="709"/>
        <w:jc w:val="both"/>
        <w:rPr>
          <w:rFonts w:ascii="Arial" w:hAnsi="Arial" w:cs="Arial"/>
        </w:rPr>
      </w:pPr>
    </w:p>
    <w:p w14:paraId="3F55F436" w14:textId="77777777" w:rsidR="00A92CC9" w:rsidRDefault="00A92CC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BBADF8" w14:textId="0D0AF1D3" w:rsidR="00517579" w:rsidRPr="00A92CC9" w:rsidRDefault="00012469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012469">
        <w:rPr>
          <w:rFonts w:ascii="Arial" w:hAnsi="Arial" w:cs="Arial"/>
          <w:sz w:val="24"/>
          <w:szCs w:val="24"/>
        </w:rPr>
        <w:t>En la autonomía, concurren desde un punto de vista filosófico, tanto la visión del individuo ante los demás, como ante sí mismo.</w:t>
      </w:r>
    </w:p>
    <w:p w14:paraId="27660371" w14:textId="0D1714A0" w:rsidR="000E2EFD" w:rsidRDefault="000E2EFD" w:rsidP="00A92CC9">
      <w:pPr>
        <w:pStyle w:val="Ttulo1"/>
        <w:spacing w:line="480" w:lineRule="auto"/>
        <w:jc w:val="both"/>
        <w:rPr>
          <w:rFonts w:ascii="Agency FB" w:hAnsi="Agency FB"/>
          <w:sz w:val="48"/>
          <w:szCs w:val="48"/>
          <w:u w:val="double"/>
        </w:rPr>
      </w:pPr>
      <w:bookmarkStart w:id="3" w:name="_Toc62514912"/>
      <w:bookmarkStart w:id="4" w:name="_Toc62515020"/>
      <w:r w:rsidRPr="00420147">
        <w:rPr>
          <w:rFonts w:ascii="Agency FB" w:hAnsi="Agency FB"/>
          <w:sz w:val="48"/>
          <w:szCs w:val="48"/>
          <w:u w:val="double"/>
        </w:rPr>
        <w:lastRenderedPageBreak/>
        <w:t>La heteronomía</w:t>
      </w:r>
      <w:bookmarkEnd w:id="3"/>
      <w:bookmarkEnd w:id="4"/>
    </w:p>
    <w:p w14:paraId="497EF6EC" w14:textId="77777777" w:rsidR="00420147" w:rsidRPr="00420147" w:rsidRDefault="00420147" w:rsidP="00A92CC9">
      <w:pPr>
        <w:spacing w:line="480" w:lineRule="auto"/>
        <w:jc w:val="both"/>
      </w:pPr>
    </w:p>
    <w:p w14:paraId="162FCBC4" w14:textId="39AE3758" w:rsidR="000E2EFD" w:rsidRDefault="000E2EFD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heteronomía es lo contrario a la </w:t>
      </w:r>
      <w:hyperlink w:anchor="autonomía" w:history="1">
        <w:r w:rsidRPr="00145300">
          <w:rPr>
            <w:rStyle w:val="Hipervnculo"/>
            <w:rFonts w:ascii="Arial" w:hAnsi="Arial" w:cs="Arial"/>
            <w:sz w:val="24"/>
            <w:szCs w:val="24"/>
          </w:rPr>
          <w:t>autonomía</w:t>
        </w:r>
      </w:hyperlink>
      <w:r>
        <w:rPr>
          <w:rFonts w:ascii="Arial" w:hAnsi="Arial" w:cs="Arial"/>
          <w:sz w:val="24"/>
          <w:szCs w:val="24"/>
        </w:rPr>
        <w:t xml:space="preserve">. Consiste en </w:t>
      </w:r>
      <w:r w:rsidR="00E92E63">
        <w:rPr>
          <w:rFonts w:ascii="Arial" w:hAnsi="Arial" w:cs="Arial"/>
          <w:sz w:val="24"/>
          <w:szCs w:val="24"/>
        </w:rPr>
        <w:t>la necesidad que tiene una persona de que los demás obren o decidan por él. Se trata de una forma de dependencia o a veces incluso sumisión</w:t>
      </w:r>
      <w:r w:rsidR="007B4F0E">
        <w:rPr>
          <w:rFonts w:ascii="Arial" w:hAnsi="Arial" w:cs="Arial"/>
          <w:sz w:val="24"/>
          <w:szCs w:val="24"/>
        </w:rPr>
        <w:t>. El término diferencia a aquellas personas que siguen una serie de normas dictadas por una tercera persona y que el individuo sigue, ya sea a voluntad o no. Muchas de las veces esto sucede con el fin de pertenecer a un grupo social o ser aceptado.</w:t>
      </w:r>
    </w:p>
    <w:p w14:paraId="3E17B4AF" w14:textId="77815C3D" w:rsidR="007B4F0E" w:rsidRDefault="007B4F0E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suele experimentar a muy temprana edad, como cuando nuestros padres nos dicen lo que está bien y lo que está mal, inventando una serie de normas y castigos o premios según nuestro </w:t>
      </w:r>
      <w:r w:rsidR="008A18F2">
        <w:rPr>
          <w:rFonts w:ascii="Arial" w:hAnsi="Arial" w:cs="Arial"/>
          <w:sz w:val="24"/>
          <w:szCs w:val="24"/>
        </w:rPr>
        <w:t>comportamiento.</w:t>
      </w:r>
    </w:p>
    <w:p w14:paraId="75201AEA" w14:textId="3222B7B5" w:rsidR="000E2EFD" w:rsidRDefault="008A18F2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Otra presencia de la heteronomía está en las personas que quieren ser aceptadas y buscan la aprobación del resto, como cuando se intenta seguir una moda o actúas de una manera en específico para obtener aprobación o reconocimiento, así también como beneficios. Prácticamente esto está presente en todas las personas, ya sea en mayor o menor medida.</w:t>
      </w:r>
    </w:p>
    <w:p w14:paraId="1910015D" w14:textId="1D56759E" w:rsidR="000E2EFD" w:rsidRDefault="0051757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6C408C" wp14:editId="53926467">
            <wp:extent cx="1228725" cy="17240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18" cy="17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055F" w14:textId="4F24FEA7" w:rsidR="00420147" w:rsidRPr="00420147" w:rsidRDefault="00AF580C" w:rsidP="00A92CC9">
      <w:pPr>
        <w:pStyle w:val="Ttulo1"/>
        <w:spacing w:line="480" w:lineRule="auto"/>
        <w:jc w:val="both"/>
        <w:rPr>
          <w:rFonts w:ascii="Agency FB" w:hAnsi="Agency FB"/>
          <w:sz w:val="48"/>
          <w:szCs w:val="48"/>
          <w:u w:val="double"/>
        </w:rPr>
      </w:pPr>
      <w:bookmarkStart w:id="5" w:name="_Toc62515021"/>
      <w:r w:rsidRPr="00420147">
        <w:rPr>
          <w:rFonts w:ascii="Agency FB" w:hAnsi="Agency FB"/>
          <w:sz w:val="48"/>
          <w:szCs w:val="48"/>
          <w:u w:val="double"/>
        </w:rPr>
        <w:lastRenderedPageBreak/>
        <w:t>El superego</w:t>
      </w:r>
      <w:r w:rsidR="001B209D" w:rsidRPr="00420147">
        <w:rPr>
          <w:rFonts w:ascii="Agency FB" w:hAnsi="Agency FB"/>
          <w:sz w:val="48"/>
          <w:szCs w:val="48"/>
          <w:u w:val="double"/>
        </w:rPr>
        <w:t xml:space="preserve"> o superyó</w:t>
      </w:r>
      <w:bookmarkEnd w:id="5"/>
    </w:p>
    <w:p w14:paraId="449029FE" w14:textId="25255A2A" w:rsidR="00F01215" w:rsidRDefault="00752362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2362">
        <w:rPr>
          <w:rFonts w:ascii="Arial" w:hAnsi="Arial" w:cs="Arial"/>
          <w:sz w:val="24"/>
          <w:szCs w:val="24"/>
        </w:rPr>
        <w:t xml:space="preserve">El </w:t>
      </w:r>
      <w:bookmarkStart w:id="6" w:name="superego"/>
      <w:r w:rsidRPr="00752362">
        <w:rPr>
          <w:rFonts w:ascii="Arial" w:hAnsi="Arial" w:cs="Arial"/>
          <w:sz w:val="24"/>
          <w:szCs w:val="24"/>
        </w:rPr>
        <w:t>superego</w:t>
      </w:r>
      <w:bookmarkEnd w:id="6"/>
      <w:r w:rsidRPr="00752362">
        <w:rPr>
          <w:rFonts w:ascii="Arial" w:hAnsi="Arial" w:cs="Arial"/>
          <w:sz w:val="24"/>
          <w:szCs w:val="24"/>
        </w:rPr>
        <w:t xml:space="preserve"> es todo aquello que aprendemos en la infancia a partir de las creencias de nuestros padres o cualquier otra influencia, la cual el sujeto suele aprender mediante las normas o restricciones que diferencian lo correcto de lo incorrecto. Estas condiciones afectan moralmente al individuo a lo largo de su vida, afectando a sus decisiones futuras y a su estilo de vida. El superego no afecta a todas las personas de la misma manera, ya que a pesar de las ideas que te hayan intentado inculcar a temprana edad, tienes la posibilidad de poder cambiarlas y pensar de forma individual.</w:t>
      </w:r>
      <w:r>
        <w:rPr>
          <w:rFonts w:ascii="Arial" w:hAnsi="Arial" w:cs="Arial"/>
          <w:sz w:val="24"/>
          <w:szCs w:val="24"/>
        </w:rPr>
        <w:t xml:space="preserve"> </w:t>
      </w:r>
      <w:r w:rsidR="00F01215">
        <w:rPr>
          <w:rFonts w:ascii="Arial" w:hAnsi="Arial" w:cs="Arial"/>
          <w:sz w:val="24"/>
          <w:szCs w:val="24"/>
        </w:rPr>
        <w:t xml:space="preserve">Se parece bastante al concepto de la heteronomía, sin </w:t>
      </w:r>
      <w:proofErr w:type="gramStart"/>
      <w:r w:rsidR="00F01215">
        <w:rPr>
          <w:rFonts w:ascii="Arial" w:hAnsi="Arial" w:cs="Arial"/>
          <w:sz w:val="24"/>
          <w:szCs w:val="24"/>
        </w:rPr>
        <w:t>e</w:t>
      </w:r>
      <w:r w:rsidR="00740DAF">
        <w:rPr>
          <w:rFonts w:ascii="Arial" w:hAnsi="Arial" w:cs="Arial"/>
          <w:sz w:val="24"/>
          <w:szCs w:val="24"/>
        </w:rPr>
        <w:t>m</w:t>
      </w:r>
      <w:r w:rsidR="00F01215">
        <w:rPr>
          <w:rFonts w:ascii="Arial" w:hAnsi="Arial" w:cs="Arial"/>
          <w:sz w:val="24"/>
          <w:szCs w:val="24"/>
        </w:rPr>
        <w:t>bargo</w:t>
      </w:r>
      <w:proofErr w:type="gramEnd"/>
      <w:r w:rsidR="00F01215">
        <w:rPr>
          <w:rFonts w:ascii="Arial" w:hAnsi="Arial" w:cs="Arial"/>
          <w:sz w:val="24"/>
          <w:szCs w:val="24"/>
        </w:rPr>
        <w:t xml:space="preserve"> este, está más encaminado a las experiencias traumáticas o dolorosas que nos han podido marcar durante la infancia.</w:t>
      </w:r>
    </w:p>
    <w:p w14:paraId="557412DA" w14:textId="6104060B" w:rsidR="00F01215" w:rsidRDefault="00F01215" w:rsidP="00740DAF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7268AD75" w14:textId="4A4FD5A0" w:rsidR="00F01215" w:rsidRDefault="00517579" w:rsidP="00740DAF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sólo se trata de la familia, siendo la que afecta al individuo, ya que el entorno social también tiene una gran influencia.</w:t>
      </w:r>
    </w:p>
    <w:p w14:paraId="66DB1088" w14:textId="18EAF8A8" w:rsidR="00F01215" w:rsidRDefault="00F01215" w:rsidP="00740DAF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0951F8BC" w14:textId="78731101" w:rsidR="00517579" w:rsidRDefault="00517579" w:rsidP="00740DAF">
      <w:pPr>
        <w:ind w:firstLine="709"/>
        <w:jc w:val="both"/>
        <w:rPr>
          <w:rFonts w:ascii="Agency FB" w:hAnsi="Agency FB" w:cs="Arial"/>
          <w:color w:val="0070C0"/>
          <w:sz w:val="48"/>
          <w:szCs w:val="48"/>
        </w:rPr>
      </w:pPr>
    </w:p>
    <w:p w14:paraId="71603897" w14:textId="4D03680E" w:rsidR="00A92CC9" w:rsidRDefault="00A92CC9" w:rsidP="00740DAF">
      <w:pPr>
        <w:ind w:firstLine="709"/>
        <w:jc w:val="both"/>
        <w:rPr>
          <w:rFonts w:ascii="Agency FB" w:hAnsi="Agency FB" w:cs="Arial"/>
          <w:color w:val="0070C0"/>
          <w:sz w:val="48"/>
          <w:szCs w:val="48"/>
        </w:rPr>
      </w:pPr>
      <w:r>
        <w:rPr>
          <w:rFonts w:ascii="Agency FB" w:hAnsi="Agency FB" w:cs="Arial"/>
          <w:color w:val="0070C0"/>
          <w:sz w:val="48"/>
          <w:szCs w:val="48"/>
        </w:rPr>
        <w:t xml:space="preserve">                                             </w:t>
      </w:r>
      <w:r>
        <w:rPr>
          <w:rFonts w:ascii="Agency FB" w:hAnsi="Agency FB" w:cs="Arial"/>
          <w:noProof/>
          <w:color w:val="0070C0"/>
          <w:sz w:val="48"/>
          <w:szCs w:val="48"/>
        </w:rPr>
        <w:drawing>
          <wp:inline distT="0" distB="0" distL="0" distR="0" wp14:anchorId="3FA9D538" wp14:editId="3AC3CEFE">
            <wp:extent cx="1769110" cy="158115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99" cy="158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52E08" w14:textId="16BBD1B5" w:rsidR="00A92CC9" w:rsidRDefault="00A92CC9" w:rsidP="00740DAF">
      <w:pPr>
        <w:ind w:firstLine="709"/>
        <w:jc w:val="both"/>
        <w:rPr>
          <w:rFonts w:ascii="Agency FB" w:hAnsi="Agency FB" w:cs="Arial"/>
          <w:color w:val="0070C0"/>
          <w:sz w:val="48"/>
          <w:szCs w:val="48"/>
        </w:rPr>
      </w:pPr>
    </w:p>
    <w:p w14:paraId="3E68C074" w14:textId="53AC08B7" w:rsidR="00A92CC9" w:rsidRDefault="00A92CC9" w:rsidP="00740DAF">
      <w:pPr>
        <w:ind w:firstLine="709"/>
        <w:jc w:val="both"/>
        <w:rPr>
          <w:rFonts w:ascii="Agency FB" w:hAnsi="Agency FB" w:cs="Arial"/>
          <w:color w:val="0070C0"/>
          <w:sz w:val="48"/>
          <w:szCs w:val="48"/>
        </w:rPr>
      </w:pPr>
    </w:p>
    <w:p w14:paraId="09D747E0" w14:textId="77777777" w:rsidR="00A92CC9" w:rsidRPr="00BA302D" w:rsidRDefault="00A92CC9" w:rsidP="00740DAF">
      <w:pPr>
        <w:ind w:firstLine="709"/>
        <w:jc w:val="both"/>
        <w:rPr>
          <w:rFonts w:ascii="Agency FB" w:hAnsi="Agency FB" w:cs="Arial"/>
          <w:color w:val="0070C0"/>
          <w:sz w:val="48"/>
          <w:szCs w:val="48"/>
        </w:rPr>
      </w:pPr>
    </w:p>
    <w:p w14:paraId="6979E29D" w14:textId="2C6ABAFA" w:rsidR="00517579" w:rsidRPr="00420147" w:rsidRDefault="00517579" w:rsidP="00A92CC9">
      <w:pPr>
        <w:pStyle w:val="Ttulo1"/>
        <w:spacing w:line="480" w:lineRule="auto"/>
        <w:jc w:val="both"/>
        <w:rPr>
          <w:rFonts w:ascii="Agency FB" w:hAnsi="Agency FB"/>
          <w:sz w:val="48"/>
          <w:szCs w:val="48"/>
          <w:u w:val="double"/>
        </w:rPr>
      </w:pPr>
      <w:bookmarkStart w:id="7" w:name="_Toc62514913"/>
      <w:bookmarkStart w:id="8" w:name="_Toc62515022"/>
      <w:r w:rsidRPr="00420147">
        <w:rPr>
          <w:rFonts w:ascii="Agency FB" w:hAnsi="Agency FB"/>
          <w:sz w:val="48"/>
          <w:szCs w:val="48"/>
          <w:u w:val="double"/>
        </w:rPr>
        <w:lastRenderedPageBreak/>
        <w:t>La estructura de la mente humana</w:t>
      </w:r>
      <w:bookmarkEnd w:id="7"/>
      <w:bookmarkEnd w:id="8"/>
    </w:p>
    <w:p w14:paraId="1593C105" w14:textId="45038618" w:rsidR="00517579" w:rsidRDefault="0051757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5F04F0" w14:textId="3376A5FC" w:rsidR="00517579" w:rsidRDefault="001B209D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Sigmund Freud intentó explicar el funcionamiento psíquico-humano mediante los conceptos de Ello, yo y </w:t>
      </w:r>
      <w:hyperlink w:anchor="superego" w:history="1">
        <w:r w:rsidRPr="0088086F">
          <w:rPr>
            <w:rStyle w:val="Hipervnculo"/>
            <w:rFonts w:ascii="Arial" w:hAnsi="Arial" w:cs="Arial"/>
            <w:sz w:val="24"/>
            <w:szCs w:val="24"/>
          </w:rPr>
          <w:t>superyó</w:t>
        </w:r>
      </w:hyperlink>
      <w:r>
        <w:rPr>
          <w:rFonts w:ascii="Arial" w:hAnsi="Arial" w:cs="Arial"/>
          <w:sz w:val="24"/>
          <w:szCs w:val="24"/>
        </w:rPr>
        <w:t xml:space="preserve"> los cuáles forman la estructura de la mente humana.</w:t>
      </w:r>
    </w:p>
    <w:p w14:paraId="0674D13D" w14:textId="22AE36F7" w:rsidR="00BA302D" w:rsidRDefault="00A92CC9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09D">
        <w:rPr>
          <w:rFonts w:ascii="Arial" w:hAnsi="Arial" w:cs="Arial"/>
          <w:noProof/>
          <w:color w:val="FFFFFF"/>
          <w:sz w:val="24"/>
          <w:szCs w:val="24"/>
        </w:rPr>
        <w:drawing>
          <wp:inline distT="0" distB="0" distL="0" distR="0" wp14:anchorId="55C8B71D" wp14:editId="1025A450">
            <wp:extent cx="4991100" cy="257175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BA302D" w14:paraId="75106532" w14:textId="77777777" w:rsidTr="00BA302D">
        <w:trPr>
          <w:jc w:val="center"/>
        </w:trPr>
        <w:tc>
          <w:tcPr>
            <w:tcW w:w="3020" w:type="dxa"/>
          </w:tcPr>
          <w:p w14:paraId="44296C72" w14:textId="07192C2D" w:rsidR="00BA302D" w:rsidRDefault="00BA302D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302D">
              <w:rPr>
                <w:rFonts w:ascii="Arial" w:hAnsi="Arial" w:cs="Aria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ID (Ello)</w:t>
            </w:r>
          </w:p>
        </w:tc>
        <w:tc>
          <w:tcPr>
            <w:tcW w:w="3020" w:type="dxa"/>
          </w:tcPr>
          <w:p w14:paraId="04321B4C" w14:textId="2B1108DC" w:rsidR="00BA302D" w:rsidRDefault="00BA302D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302D">
              <w:rPr>
                <w:rFonts w:ascii="Arial" w:hAnsi="Arial" w:cs="Aria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EGO (Yo)</w:t>
            </w:r>
          </w:p>
        </w:tc>
        <w:tc>
          <w:tcPr>
            <w:tcW w:w="3020" w:type="dxa"/>
          </w:tcPr>
          <w:p w14:paraId="114DE9D6" w14:textId="28FDBBC9" w:rsidR="00BA302D" w:rsidRDefault="00BA302D" w:rsidP="00A92CC9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302D">
              <w:rPr>
                <w:rFonts w:ascii="Arial" w:hAnsi="Arial" w:cs="Aria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SUPEREGO (Superyó)</w:t>
            </w:r>
          </w:p>
        </w:tc>
      </w:tr>
      <w:tr w:rsidR="00BA302D" w14:paraId="22A59A96" w14:textId="77777777" w:rsidTr="00BA302D">
        <w:trPr>
          <w:jc w:val="center"/>
        </w:trPr>
        <w:tc>
          <w:tcPr>
            <w:tcW w:w="3020" w:type="dxa"/>
          </w:tcPr>
          <w:p w14:paraId="110720AF" w14:textId="7EA46672" w:rsidR="00BA302D" w:rsidRDefault="00BA302D" w:rsidP="00A92CC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Datos de la consciencia que son inconscientes.</w:t>
            </w:r>
          </w:p>
        </w:tc>
        <w:tc>
          <w:tcPr>
            <w:tcW w:w="3020" w:type="dxa"/>
          </w:tcPr>
          <w:p w14:paraId="597D943E" w14:textId="22E04EBC" w:rsidR="00BA302D" w:rsidRDefault="00BA302D" w:rsidP="00A92CC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Parte consciente de la mente.</w:t>
            </w:r>
          </w:p>
        </w:tc>
        <w:tc>
          <w:tcPr>
            <w:tcW w:w="3020" w:type="dxa"/>
          </w:tcPr>
          <w:p w14:paraId="41ACF0FB" w14:textId="3AA46155" w:rsidR="00BA302D" w:rsidRDefault="00BA302D" w:rsidP="00A92CC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Consciencia moral</w:t>
            </w:r>
          </w:p>
        </w:tc>
      </w:tr>
    </w:tbl>
    <w:p w14:paraId="3F0CB350" w14:textId="74F56D73" w:rsidR="00752362" w:rsidRDefault="00752362" w:rsidP="00A92CC9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2280A30" w14:textId="6251B792" w:rsidR="004100D8" w:rsidRDefault="00BA302D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F01215" w:rsidRPr="00F01215">
        <w:rPr>
          <w:noProof/>
        </w:rPr>
        <w:drawing>
          <wp:inline distT="0" distB="0" distL="0" distR="0" wp14:anchorId="50016C87" wp14:editId="33B08755">
            <wp:extent cx="5521960" cy="200891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832" cy="207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374D" w14:textId="2DA53823" w:rsidR="0057056A" w:rsidRPr="0057056A" w:rsidRDefault="0057056A" w:rsidP="0057056A">
      <w:pPr>
        <w:spacing w:line="480" w:lineRule="auto"/>
        <w:jc w:val="center"/>
        <w:rPr>
          <w:rFonts w:ascii="Agency FB" w:hAnsi="Agency FB" w:cs="Arial"/>
          <w:color w:val="0070C0"/>
          <w:sz w:val="56"/>
          <w:szCs w:val="56"/>
        </w:rPr>
      </w:pPr>
      <w:r w:rsidRPr="0057056A">
        <w:rPr>
          <w:rFonts w:ascii="Agency FB" w:hAnsi="Agency FB" w:cs="Arial"/>
          <w:color w:val="0070C0"/>
          <w:sz w:val="56"/>
          <w:szCs w:val="56"/>
        </w:rPr>
        <w:lastRenderedPageBreak/>
        <w:t>BIBLIOGRAFÍA</w:t>
      </w:r>
    </w:p>
    <w:p w14:paraId="6D13ED40" w14:textId="301A0116" w:rsidR="00A92CC9" w:rsidRDefault="0088086F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66906635"/>
          <w:citation/>
        </w:sdtPr>
        <w:sdtEndPr/>
        <w:sdtContent>
          <w:r w:rsidR="0057056A">
            <w:rPr>
              <w:rFonts w:ascii="Arial" w:hAnsi="Arial" w:cs="Arial"/>
              <w:sz w:val="24"/>
              <w:szCs w:val="24"/>
            </w:rPr>
            <w:fldChar w:fldCharType="begin"/>
          </w:r>
          <w:r w:rsidR="0057056A">
            <w:rPr>
              <w:rFonts w:ascii="Arial" w:hAnsi="Arial" w:cs="Arial"/>
              <w:sz w:val="24"/>
              <w:szCs w:val="24"/>
            </w:rPr>
            <w:instrText xml:space="preserve"> CITATION Mar7 \l 3082 </w:instrText>
          </w:r>
          <w:r w:rsidR="0057056A">
            <w:rPr>
              <w:rFonts w:ascii="Arial" w:hAnsi="Arial" w:cs="Arial"/>
              <w:sz w:val="24"/>
              <w:szCs w:val="24"/>
            </w:rPr>
            <w:fldChar w:fldCharType="separate"/>
          </w:r>
          <w:r w:rsidR="0057056A" w:rsidRPr="0057056A">
            <w:rPr>
              <w:rFonts w:ascii="Arial" w:hAnsi="Arial" w:cs="Arial"/>
              <w:noProof/>
              <w:sz w:val="24"/>
              <w:szCs w:val="24"/>
            </w:rPr>
            <w:t>(Raffino, 7)</w:t>
          </w:r>
          <w:r w:rsidR="0057056A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70A87125" w14:textId="014AFA15" w:rsidR="0057056A" w:rsidRDefault="0088086F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729413825"/>
          <w:citation/>
        </w:sdtPr>
        <w:sdtEndPr/>
        <w:sdtContent>
          <w:r w:rsidR="0057056A">
            <w:rPr>
              <w:rFonts w:ascii="Arial" w:hAnsi="Arial" w:cs="Arial"/>
              <w:sz w:val="24"/>
              <w:szCs w:val="24"/>
            </w:rPr>
            <w:fldChar w:fldCharType="begin"/>
          </w:r>
          <w:r w:rsidR="0057056A">
            <w:rPr>
              <w:rFonts w:ascii="Arial" w:hAnsi="Arial" w:cs="Arial"/>
              <w:sz w:val="24"/>
              <w:szCs w:val="24"/>
            </w:rPr>
            <w:instrText xml:space="preserve"> CITATION Sig17 \l 3082 </w:instrText>
          </w:r>
          <w:r w:rsidR="0057056A">
            <w:rPr>
              <w:rFonts w:ascii="Arial" w:hAnsi="Arial" w:cs="Arial"/>
              <w:sz w:val="24"/>
              <w:szCs w:val="24"/>
            </w:rPr>
            <w:fldChar w:fldCharType="separate"/>
          </w:r>
          <w:r w:rsidR="0057056A" w:rsidRPr="0057056A">
            <w:rPr>
              <w:rFonts w:ascii="Arial" w:hAnsi="Arial" w:cs="Arial"/>
              <w:noProof/>
              <w:sz w:val="24"/>
              <w:szCs w:val="24"/>
            </w:rPr>
            <w:t>(Significados.com, 2017)</w:t>
          </w:r>
          <w:r w:rsidR="0057056A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3FA61A74" w14:textId="1B2E0D2D" w:rsidR="0057056A" w:rsidRDefault="0088086F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60878675"/>
          <w:citation/>
        </w:sdtPr>
        <w:sdtEndPr/>
        <w:sdtContent>
          <w:r w:rsidR="0057056A">
            <w:rPr>
              <w:rFonts w:ascii="Arial" w:hAnsi="Arial" w:cs="Arial"/>
              <w:sz w:val="24"/>
              <w:szCs w:val="24"/>
            </w:rPr>
            <w:fldChar w:fldCharType="begin"/>
          </w:r>
          <w:r w:rsidR="0057056A">
            <w:rPr>
              <w:rFonts w:ascii="Arial" w:hAnsi="Arial" w:cs="Arial"/>
              <w:sz w:val="24"/>
              <w:szCs w:val="24"/>
            </w:rPr>
            <w:instrText xml:space="preserve"> CITATION Mai15 \l 3082 </w:instrText>
          </w:r>
          <w:r w:rsidR="0057056A">
            <w:rPr>
              <w:rFonts w:ascii="Arial" w:hAnsi="Arial" w:cs="Arial"/>
              <w:sz w:val="24"/>
              <w:szCs w:val="24"/>
            </w:rPr>
            <w:fldChar w:fldCharType="separate"/>
          </w:r>
          <w:r w:rsidR="0057056A" w:rsidRPr="0057056A">
            <w:rPr>
              <w:rFonts w:ascii="Arial" w:hAnsi="Arial" w:cs="Arial"/>
              <w:noProof/>
              <w:sz w:val="24"/>
              <w:szCs w:val="24"/>
            </w:rPr>
            <w:t>(Nicuesa, 2015)</w:t>
          </w:r>
          <w:r w:rsidR="0057056A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50BC262D" w14:textId="77777777" w:rsidR="0057056A" w:rsidRPr="00012469" w:rsidRDefault="0057056A" w:rsidP="00A92CC9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sectPr w:rsidR="0057056A" w:rsidRPr="00012469" w:rsidSect="006C440B">
      <w:headerReference w:type="default" r:id="rId14"/>
      <w:footerReference w:type="default" r:id="rId15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C39FE" w14:textId="77777777" w:rsidR="00BD718D" w:rsidRDefault="00BD718D" w:rsidP="00BD718D">
      <w:pPr>
        <w:spacing w:after="0" w:line="240" w:lineRule="auto"/>
      </w:pPr>
      <w:r>
        <w:separator/>
      </w:r>
    </w:p>
  </w:endnote>
  <w:endnote w:type="continuationSeparator" w:id="0">
    <w:p w14:paraId="422756B0" w14:textId="77777777" w:rsidR="00BD718D" w:rsidRDefault="00BD718D" w:rsidP="00BD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unteada">
    <w:altName w:val="Calibri"/>
    <w:charset w:val="00"/>
    <w:family w:val="auto"/>
    <w:pitch w:val="variable"/>
    <w:sig w:usb0="8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6334F" w14:textId="4D66397C" w:rsidR="00BD718D" w:rsidRPr="00420147" w:rsidRDefault="00420147">
    <w:pPr>
      <w:pStyle w:val="Piedepgina"/>
      <w:rPr>
        <w:color w:val="2F5496" w:themeColor="accent1" w:themeShade="BF"/>
        <w:sz w:val="24"/>
        <w:szCs w:val="24"/>
      </w:rPr>
    </w:pPr>
    <w:r w:rsidRPr="00420147">
      <w:rPr>
        <w:noProof/>
        <w:color w:val="2F5496" w:themeColor="accent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8B006" wp14:editId="3025C46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5939D79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 w:rsidRPr="00420147">
      <w:rPr>
        <w:color w:val="2F5496" w:themeColor="accent1" w:themeShade="BF"/>
        <w:sz w:val="24"/>
        <w:szCs w:val="24"/>
      </w:rPr>
      <w:t xml:space="preserve"> </w:t>
    </w:r>
    <w:r w:rsidRPr="00420147">
      <w:rPr>
        <w:rFonts w:asciiTheme="majorHAnsi" w:eastAsiaTheme="majorEastAsia" w:hAnsiTheme="majorHAnsi" w:cstheme="majorBidi"/>
        <w:color w:val="2F5496" w:themeColor="accent1" w:themeShade="BF"/>
        <w:sz w:val="24"/>
        <w:szCs w:val="24"/>
      </w:rPr>
      <w:t xml:space="preserve">pág. </w:t>
    </w:r>
    <w:r w:rsidRPr="00420147">
      <w:rPr>
        <w:rFonts w:eastAsiaTheme="minorEastAsia"/>
        <w:color w:val="2F5496" w:themeColor="accent1" w:themeShade="BF"/>
        <w:sz w:val="24"/>
        <w:szCs w:val="24"/>
      </w:rPr>
      <w:fldChar w:fldCharType="begin"/>
    </w:r>
    <w:r w:rsidRPr="00420147">
      <w:rPr>
        <w:color w:val="2F5496" w:themeColor="accent1" w:themeShade="BF"/>
        <w:sz w:val="24"/>
        <w:szCs w:val="24"/>
      </w:rPr>
      <w:instrText>PAGE    \* MERGEFORMAT</w:instrText>
    </w:r>
    <w:r w:rsidRPr="00420147">
      <w:rPr>
        <w:rFonts w:eastAsiaTheme="minorEastAsia"/>
        <w:color w:val="2F5496" w:themeColor="accent1" w:themeShade="BF"/>
        <w:sz w:val="24"/>
        <w:szCs w:val="24"/>
      </w:rPr>
      <w:fldChar w:fldCharType="separate"/>
    </w:r>
    <w:r w:rsidRPr="00420147">
      <w:rPr>
        <w:rFonts w:asciiTheme="majorHAnsi" w:eastAsiaTheme="majorEastAsia" w:hAnsiTheme="majorHAnsi" w:cstheme="majorBidi"/>
        <w:color w:val="2F5496" w:themeColor="accent1" w:themeShade="BF"/>
        <w:sz w:val="24"/>
        <w:szCs w:val="24"/>
      </w:rPr>
      <w:t>2</w:t>
    </w:r>
    <w:r w:rsidRPr="00420147">
      <w:rPr>
        <w:rFonts w:asciiTheme="majorHAnsi" w:eastAsiaTheme="majorEastAsia" w:hAnsiTheme="majorHAnsi" w:cstheme="majorBidi"/>
        <w:color w:val="2F5496" w:themeColor="accent1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A74DB" w14:textId="77777777" w:rsidR="00BD718D" w:rsidRDefault="00BD718D" w:rsidP="00BD718D">
      <w:pPr>
        <w:spacing w:after="0" w:line="240" w:lineRule="auto"/>
      </w:pPr>
      <w:r>
        <w:separator/>
      </w:r>
    </w:p>
  </w:footnote>
  <w:footnote w:type="continuationSeparator" w:id="0">
    <w:p w14:paraId="34ECAA20" w14:textId="77777777" w:rsidR="00BD718D" w:rsidRDefault="00BD718D" w:rsidP="00BD7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48359" w14:textId="6ED3E5F6" w:rsidR="00BA302D" w:rsidRPr="00420147" w:rsidRDefault="00420147" w:rsidP="00420147">
    <w:pPr>
      <w:pStyle w:val="Encabezado"/>
      <w:ind w:left="360"/>
      <w:jc w:val="right"/>
      <w:rPr>
        <w:i/>
        <w:i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420147">
      <w:rPr>
        <w:i/>
        <w:i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Autonomía moral e Independe</w:t>
    </w:r>
    <w:r>
      <w:rPr>
        <w:i/>
        <w:i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n</w:t>
    </w:r>
    <w:r w:rsidRPr="00420147">
      <w:rPr>
        <w:i/>
        <w:i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4B3675"/>
    <w:multiLevelType w:val="hybridMultilevel"/>
    <w:tmpl w:val="B4442E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8D"/>
    <w:rsid w:val="00012469"/>
    <w:rsid w:val="000E2EFD"/>
    <w:rsid w:val="00145300"/>
    <w:rsid w:val="001B209D"/>
    <w:rsid w:val="002A497B"/>
    <w:rsid w:val="004100D8"/>
    <w:rsid w:val="00420147"/>
    <w:rsid w:val="00517579"/>
    <w:rsid w:val="0057056A"/>
    <w:rsid w:val="00633269"/>
    <w:rsid w:val="006C440B"/>
    <w:rsid w:val="0073365F"/>
    <w:rsid w:val="00740DAF"/>
    <w:rsid w:val="00752362"/>
    <w:rsid w:val="007A43B8"/>
    <w:rsid w:val="007B4F0E"/>
    <w:rsid w:val="0088086F"/>
    <w:rsid w:val="008A18F2"/>
    <w:rsid w:val="00A92CC9"/>
    <w:rsid w:val="00AF580C"/>
    <w:rsid w:val="00BA302D"/>
    <w:rsid w:val="00BD718D"/>
    <w:rsid w:val="00CE61E2"/>
    <w:rsid w:val="00CE760D"/>
    <w:rsid w:val="00D6431A"/>
    <w:rsid w:val="00D840A8"/>
    <w:rsid w:val="00E92E63"/>
    <w:rsid w:val="00F0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DE3FC"/>
  <w15:chartTrackingRefBased/>
  <w15:docId w15:val="{3B26CDB8-A8D9-47B1-A50C-4DFEE93D9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01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7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718D"/>
  </w:style>
  <w:style w:type="paragraph" w:styleId="Piedepgina">
    <w:name w:val="footer"/>
    <w:basedOn w:val="Normal"/>
    <w:link w:val="PiedepginaCar"/>
    <w:uiPriority w:val="99"/>
    <w:unhideWhenUsed/>
    <w:rsid w:val="00BD7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18D"/>
  </w:style>
  <w:style w:type="table" w:styleId="Tablaconcuadrcula">
    <w:name w:val="Table Grid"/>
    <w:basedOn w:val="Tablanormal"/>
    <w:uiPriority w:val="39"/>
    <w:rsid w:val="00CE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201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420147"/>
    <w:pPr>
      <w:outlineLvl w:val="9"/>
    </w:pPr>
    <w:rPr>
      <w:lang w:eastAsia="ja-JP"/>
    </w:rPr>
  </w:style>
  <w:style w:type="paragraph" w:styleId="TDC1">
    <w:name w:val="toc 1"/>
    <w:basedOn w:val="Normal"/>
    <w:next w:val="Normal"/>
    <w:autoRedefine/>
    <w:uiPriority w:val="39"/>
    <w:unhideWhenUsed/>
    <w:rsid w:val="0042014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4201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5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 u="none"/>
              <a:t>Estructura</a:t>
            </a:r>
            <a:r>
              <a:rPr lang="en-US" b="1" i="0" u="none" baseline="0"/>
              <a:t> de la mente humana</a:t>
            </a:r>
            <a:endParaRPr lang="en-US" b="1" i="0" u="non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B8-4373-8BDB-E6130C0329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B8-4373-8BDB-E6130C0329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B8-4373-8BDB-E6130C0329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B8-4373-8BDB-E6130C032902}"/>
              </c:ext>
            </c:extLst>
          </c:dPt>
          <c:dLbls>
            <c:dLbl>
              <c:idx val="0"/>
              <c:layout>
                <c:manualLayout>
                  <c:x val="-0.10344415281423155"/>
                  <c:y val="0.1014138857642794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EGO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(Yo)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DB8-4373-8BDB-E6130C032902}"/>
                </c:ext>
              </c:extLst>
            </c:dLbl>
            <c:dLbl>
              <c:idx val="1"/>
              <c:layout>
                <c:manualLayout>
                  <c:x val="-1.1574074074074073E-3"/>
                  <c:y val="-0.231342019747531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SUPEREGO</a:t>
                    </a:r>
                  </a:p>
                  <a:p>
                    <a:pPr>
                      <a:defRPr/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(Superyó)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625"/>
                      <c:h val="0.1607142857142857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4DB8-4373-8BDB-E6130C032902}"/>
                </c:ext>
              </c:extLst>
            </c:dLbl>
            <c:dLbl>
              <c:idx val="2"/>
              <c:layout>
                <c:manualLayout>
                  <c:x val="0.13657407407407407"/>
                  <c:y val="0.121696975378077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ID</a:t>
                    </a:r>
                  </a:p>
                  <a:p>
                    <a:pPr>
                      <a:defRPr/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(Ello)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995370370370371"/>
                      <c:h val="0.1210317460317460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4DB8-4373-8BDB-E6130C0329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3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B8-4373-8BDB-E6130C032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Mar7</b:Tag>
    <b:SourceType>InternetSite</b:SourceType>
    <b:Guid>{57C2C6D0-5E6B-4790-A1DA-67DFCB47AE24}</b:Guid>
    <b:Title>concepto.de</b:Title>
    <b:Year>7</b:Year>
    <b:Author>
      <b:Author>
        <b:NameList>
          <b:Person>
            <b:Last>Raffino</b:Last>
            <b:First>María</b:First>
            <b:Middle>Estela</b:Middle>
          </b:Person>
        </b:NameList>
      </b:Author>
    </b:Author>
    <b:Month>julio</b:Month>
    <b:Day>2020</b:Day>
    <b:URL>https://concepto.de/autonomia/#:~:text=adem%C3%A1s%3A%20Valores%20morales-,Autonom%C3%ADa%20moral,moralmente%20una%20acci%C3%B3n%20o%20situaci%C3%B3n.</b:URL>
    <b:RefOrder>1</b:RefOrder>
  </b:Source>
  <b:Source>
    <b:Tag>Mai15</b:Tag>
    <b:SourceType>InternetSite</b:SourceType>
    <b:Guid>{9CB2F0D8-75B0-4F48-B0A1-7E65A30D8C12}</b:Guid>
    <b:Author>
      <b:Author>
        <b:NameList>
          <b:Person>
            <b:Last>Nicuesa</b:Last>
            <b:First>Maite</b:First>
          </b:Person>
        </b:NameList>
      </b:Author>
    </b:Author>
    <b:Title>DefiniciónABC</b:Title>
    <b:Year>2015</b:Year>
    <b:Month>junio</b:Month>
    <b:URL>https://www.definicionabc.com/social/el-superego.php</b:URL>
    <b:RefOrder>3</b:RefOrder>
  </b:Source>
  <b:Source>
    <b:Tag>Sig17</b:Tag>
    <b:SourceType>InternetSite</b:SourceType>
    <b:Guid>{5BEFD6B6-29FD-419D-8E25-91E46B223D19}</b:Guid>
    <b:Title>Significados.com</b:Title>
    <b:Year>2017</b:Year>
    <b:Month>11</b:Month>
    <b:Day>13</b:Day>
    <b:URL>https://www.significados.com/heteronomia/</b:URL>
    <b:RefOrder>2</b:RefOrder>
  </b:Source>
</b:Sources>
</file>

<file path=customXml/itemProps1.xml><?xml version="1.0" encoding="utf-8"?>
<ds:datastoreItem xmlns:ds="http://schemas.openxmlformats.org/officeDocument/2006/customXml" ds:itemID="{0343BAAA-834A-458C-A420-C783D4E7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759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García Fernandez</dc:creator>
  <cp:keywords/>
  <dc:description/>
  <cp:lastModifiedBy>ESO Cuarto B</cp:lastModifiedBy>
  <cp:revision>2</cp:revision>
  <dcterms:created xsi:type="dcterms:W3CDTF">2021-02-01T15:32:00Z</dcterms:created>
  <dcterms:modified xsi:type="dcterms:W3CDTF">2021-02-01T15:32:00Z</dcterms:modified>
</cp:coreProperties>
</file>